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5F6D" w14:textId="00DC5636" w:rsidR="00E45756" w:rsidRPr="00BB46EA" w:rsidRDefault="00E45756" w:rsidP="00BB46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6EA">
        <w:rPr>
          <w:rFonts w:ascii="Times New Roman" w:hAnsi="Times New Roman" w:cs="Times New Roman"/>
          <w:b/>
          <w:bCs/>
          <w:sz w:val="28"/>
          <w:szCs w:val="28"/>
        </w:rPr>
        <w:t xml:space="preserve">ЦИК России </w:t>
      </w:r>
      <w:r w:rsidR="00BB46EA" w:rsidRPr="00BB46EA">
        <w:rPr>
          <w:rFonts w:ascii="Times New Roman" w:hAnsi="Times New Roman" w:cs="Times New Roman"/>
          <w:b/>
          <w:bCs/>
          <w:sz w:val="28"/>
          <w:szCs w:val="28"/>
        </w:rPr>
        <w:t>проводит</w:t>
      </w:r>
      <w:r w:rsidRPr="00BB46EA">
        <w:rPr>
          <w:rFonts w:ascii="Times New Roman" w:hAnsi="Times New Roman" w:cs="Times New Roman"/>
          <w:b/>
          <w:bCs/>
          <w:sz w:val="28"/>
          <w:szCs w:val="28"/>
        </w:rPr>
        <w:t xml:space="preserve"> масштабное обучение всех участников избирательного процесса</w:t>
      </w:r>
    </w:p>
    <w:p w14:paraId="3E0F7461" w14:textId="77777777" w:rsid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35A443" w14:textId="0EAA807A"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Центральная избирательная комиссия Российской Федерации начала масштабное обучение всех участников избирательного процесса. </w:t>
      </w:r>
    </w:p>
    <w:p w14:paraId="512F702F" w14:textId="23EFAEFE" w:rsidR="00BB46EA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 Первое мероприятие проведено для представителей политических партий.</w:t>
      </w:r>
      <w:r w:rsidR="00BB46EA" w:rsidRPr="00BB46EA">
        <w:rPr>
          <w:rFonts w:ascii="Times New Roman" w:hAnsi="Times New Roman" w:cs="Times New Roman"/>
          <w:sz w:val="28"/>
          <w:szCs w:val="28"/>
        </w:rPr>
        <w:t xml:space="preserve"> Его участниками стали представители 30 партий, а также более тысячи руководителей региональных отделений партий, находившихся в региональных избирательных комиссиях.</w:t>
      </w:r>
      <w:r w:rsidRPr="00BB4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17D44" w14:textId="1F93B416"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Тема занятия в онлайн-формате </w:t>
      </w:r>
      <w:r w:rsidR="00BB46EA" w:rsidRPr="00BB46EA">
        <w:rPr>
          <w:rFonts w:ascii="Times New Roman" w:hAnsi="Times New Roman" w:cs="Times New Roman"/>
          <w:sz w:val="28"/>
          <w:szCs w:val="28"/>
        </w:rPr>
        <w:t>– возможности</w:t>
      </w:r>
      <w:r w:rsidRPr="00BB46EA">
        <w:rPr>
          <w:rFonts w:ascii="Times New Roman" w:hAnsi="Times New Roman" w:cs="Times New Roman"/>
          <w:sz w:val="28"/>
          <w:szCs w:val="28"/>
        </w:rPr>
        <w:t xml:space="preserve"> личных кабинетов политических партий на портале ЕПГУ, в том числе - сервис сбора в электронной форме подписей избирателей в поддержку выдвижения кандидатов.</w:t>
      </w:r>
    </w:p>
    <w:p w14:paraId="1D83A0B0" w14:textId="728B504F" w:rsidR="00BB46EA" w:rsidRP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Обращаясь к участникам мероприятия, </w:t>
      </w:r>
      <w:r w:rsidR="00863E83">
        <w:rPr>
          <w:rFonts w:ascii="Times New Roman" w:hAnsi="Times New Roman" w:cs="Times New Roman"/>
          <w:sz w:val="28"/>
          <w:szCs w:val="28"/>
        </w:rPr>
        <w:t xml:space="preserve">председатель ЦИК РФ </w:t>
      </w:r>
      <w:r w:rsidR="00E45756" w:rsidRPr="00BB46EA">
        <w:rPr>
          <w:rFonts w:ascii="Times New Roman" w:hAnsi="Times New Roman" w:cs="Times New Roman"/>
          <w:sz w:val="28"/>
          <w:szCs w:val="28"/>
        </w:rPr>
        <w:t>Элла Памфилова</w:t>
      </w:r>
      <w:r w:rsidRPr="00BB46EA">
        <w:rPr>
          <w:rFonts w:ascii="Times New Roman" w:hAnsi="Times New Roman" w:cs="Times New Roman"/>
          <w:sz w:val="28"/>
          <w:szCs w:val="28"/>
        </w:rPr>
        <w:t xml:space="preserve"> особо подчеркнула</w:t>
      </w:r>
      <w:r w:rsidR="00E45756" w:rsidRPr="00BB46EA">
        <w:rPr>
          <w:rFonts w:ascii="Times New Roman" w:hAnsi="Times New Roman" w:cs="Times New Roman"/>
          <w:sz w:val="28"/>
          <w:szCs w:val="28"/>
        </w:rPr>
        <w:t>: «Уверяю вас, если партии будут участвовать в наших обучающих мероприятиях не для галочки, то каждая сможет пройти этап выдвижения и регистрации в 2021 году».</w:t>
      </w:r>
    </w:p>
    <w:p w14:paraId="222CA949" w14:textId="5DB841DF"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В мае запланирован семинар, посвященный подготовке пакета документов на выдвижение и регистрацию, в том числе в машиночитаемом виде.</w:t>
      </w:r>
    </w:p>
    <w:p w14:paraId="00C40239" w14:textId="77777777" w:rsidR="00BB46EA" w:rsidRP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C0B51B" w14:textId="79F08F31"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BFE441" w14:textId="77777777" w:rsidR="00BB46EA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6EA">
        <w:rPr>
          <w:rFonts w:ascii="Times New Roman" w:hAnsi="Times New Roman" w:cs="Times New Roman"/>
          <w:b/>
          <w:bCs/>
          <w:sz w:val="28"/>
          <w:szCs w:val="28"/>
        </w:rPr>
        <w:t>О голосовании в течение нескольких дней подряд: основные моменты</w:t>
      </w:r>
    </w:p>
    <w:p w14:paraId="214EDCCA" w14:textId="77777777" w:rsidR="00BB46EA" w:rsidRP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FC151" w14:textId="77777777" w:rsidR="00BB46EA" w:rsidRP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В декабре 2020 года принято и до 30 мая 2021 года будет действовать </w:t>
      </w:r>
      <w:r w:rsidR="00E45756" w:rsidRPr="00BB46EA">
        <w:rPr>
          <w:rFonts w:ascii="Times New Roman" w:hAnsi="Times New Roman" w:cs="Times New Roman"/>
          <w:sz w:val="28"/>
          <w:szCs w:val="28"/>
        </w:rPr>
        <w:t>Временное положение об особенностях голосования в течение нескольких дней.</w:t>
      </w:r>
    </w:p>
    <w:p w14:paraId="4CCF9E97" w14:textId="77777777" w:rsidR="00BB46EA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Предполагается, что за это время пройдут 25 избирательных кампаний, где будет применяться данное положение. Решения о проведении такого голосования принимаются на региональном уровне.</w:t>
      </w:r>
    </w:p>
    <w:p w14:paraId="299048FF" w14:textId="77777777" w:rsidR="00BB46EA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Например, такое голосование успешно прошло с 22 по 24 января 2021 года подмосковной Коломне, сегодня трехдневное голосование началось в Кемеровской области.</w:t>
      </w:r>
    </w:p>
    <w:p w14:paraId="1C499CE6" w14:textId="77777777" w:rsidR="00BB46EA" w:rsidRPr="00BB46EA" w:rsidRDefault="00BB46EA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 xml:space="preserve">Председатель ЦИК России </w:t>
      </w:r>
      <w:r w:rsidR="00E45756" w:rsidRPr="00BB46EA">
        <w:rPr>
          <w:rFonts w:ascii="Times New Roman" w:hAnsi="Times New Roman" w:cs="Times New Roman"/>
          <w:sz w:val="28"/>
          <w:szCs w:val="28"/>
        </w:rPr>
        <w:t>Элла Памфилова</w:t>
      </w:r>
      <w:r w:rsidRPr="00BB46EA">
        <w:rPr>
          <w:rFonts w:ascii="Times New Roman" w:hAnsi="Times New Roman" w:cs="Times New Roman"/>
          <w:sz w:val="28"/>
          <w:szCs w:val="28"/>
        </w:rPr>
        <w:t xml:space="preserve"> </w:t>
      </w:r>
      <w:r w:rsidR="00E45756" w:rsidRPr="00BB46EA">
        <w:rPr>
          <w:rFonts w:ascii="Times New Roman" w:hAnsi="Times New Roman" w:cs="Times New Roman"/>
          <w:sz w:val="28"/>
          <w:szCs w:val="28"/>
        </w:rPr>
        <w:t xml:space="preserve">сообщила, что, учитывая эпидемиологическую ситуацию, вероятность проведения голосования в течение нескольких дней в сентябре этого года довольно высока. </w:t>
      </w:r>
    </w:p>
    <w:p w14:paraId="1CB24875" w14:textId="376AEE6D"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Организаторы выборов должны быть к этому готовы и подготовить уже не временный, а постоянный порядок такого голосования с учетом опыта регионов и предложений экспертов.</w:t>
      </w:r>
    </w:p>
    <w:p w14:paraId="28039E8E" w14:textId="2DE68315"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E257F" w14:textId="77777777" w:rsidR="000B34F5" w:rsidRDefault="000B34F5" w:rsidP="000B34F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C51">
        <w:rPr>
          <w:rFonts w:ascii="Times New Roman" w:hAnsi="Times New Roman" w:cs="Times New Roman"/>
          <w:b/>
          <w:bCs/>
          <w:sz w:val="28"/>
          <w:szCs w:val="28"/>
        </w:rPr>
        <w:t>Выборы-2021: система избирательных комиссий</w:t>
      </w:r>
    </w:p>
    <w:p w14:paraId="26416D94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58495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Подготовку и проведение выборов депутатов Государственной Думы, реализацию и защиту избирательных прав граждан во время избирательной кампании </w:t>
      </w:r>
      <w:hyperlink r:id="rId4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осуществляют</w:t>
        </w:r>
      </w:hyperlink>
      <w:r w:rsidRPr="00402C51">
        <w:rPr>
          <w:rFonts w:ascii="Times New Roman" w:hAnsi="Times New Roman" w:cs="Times New Roman"/>
          <w:sz w:val="28"/>
          <w:szCs w:val="28"/>
        </w:rPr>
        <w:t> избирательные комиссии:</w:t>
      </w:r>
    </w:p>
    <w:p w14:paraId="4F8C1C59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• </w:t>
      </w:r>
      <w:hyperlink r:id="rId5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ЦИК России</w:t>
        </w:r>
      </w:hyperlink>
      <w:r w:rsidRPr="00402C51">
        <w:rPr>
          <w:rFonts w:ascii="Times New Roman" w:hAnsi="Times New Roman" w:cs="Times New Roman"/>
          <w:sz w:val="28"/>
          <w:szCs w:val="28"/>
        </w:rPr>
        <w:t> – организует подготовку и проведение выборов, руководит деятельностью всех избирательных комиссий;</w:t>
      </w:r>
    </w:p>
    <w:p w14:paraId="4D286277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lastRenderedPageBreak/>
        <w:t>• </w:t>
      </w:r>
      <w:hyperlink r:id="rId6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ИКСРФ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C51">
        <w:rPr>
          <w:rFonts w:ascii="Times New Roman" w:hAnsi="Times New Roman" w:cs="Times New Roman"/>
          <w:sz w:val="28"/>
          <w:szCs w:val="28"/>
        </w:rPr>
        <w:t> – координируют деятельность нижестоящих избирательных комиссий на территории субъекта Российской Федерации, оказывают им методическую, организационно-техническую и иную помощь;</w:t>
      </w:r>
    </w:p>
    <w:p w14:paraId="21564ACC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•</w:t>
      </w:r>
      <w:hyperlink r:id="rId7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ОИК</w:t>
        </w:r>
      </w:hyperlink>
      <w:r w:rsidRPr="00402C51">
        <w:rPr>
          <w:rFonts w:ascii="Times New Roman" w:hAnsi="Times New Roman" w:cs="Times New Roman"/>
          <w:sz w:val="28"/>
          <w:szCs w:val="28"/>
        </w:rPr>
        <w:t> – координируют деятельность территориальных и участковых избирательных комиссий, действующих на территории одномандатного избирательного округа;</w:t>
      </w:r>
    </w:p>
    <w:p w14:paraId="0680263E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• </w:t>
      </w:r>
      <w:hyperlink r:id="rId8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ТИК</w:t>
        </w:r>
      </w:hyperlink>
      <w:r w:rsidRPr="00402C51">
        <w:rPr>
          <w:rFonts w:ascii="Times New Roman" w:hAnsi="Times New Roman" w:cs="Times New Roman"/>
          <w:sz w:val="28"/>
          <w:szCs w:val="28"/>
        </w:rPr>
        <w:t> – осуществляют контроль за подготовкой и проведением выборов, соблюдением избирательных прав граждан на соответствующей территории; проводят информирование избирателей;</w:t>
      </w:r>
    </w:p>
    <w:p w14:paraId="7D47B97D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• </w:t>
      </w:r>
      <w:hyperlink r:id="rId9" w:tgtFrame="_blank" w:history="1">
        <w:r w:rsidRPr="00402C51">
          <w:rPr>
            <w:rStyle w:val="a3"/>
            <w:rFonts w:ascii="Times New Roman" w:hAnsi="Times New Roman" w:cs="Times New Roman"/>
            <w:sz w:val="28"/>
            <w:szCs w:val="28"/>
          </w:rPr>
          <w:t>УИК</w:t>
        </w:r>
      </w:hyperlink>
      <w:r w:rsidRPr="00402C51">
        <w:rPr>
          <w:rFonts w:ascii="Times New Roman" w:hAnsi="Times New Roman" w:cs="Times New Roman"/>
          <w:sz w:val="28"/>
          <w:szCs w:val="28"/>
        </w:rPr>
        <w:t> – организуют на избирательном участке голосование.</w:t>
      </w:r>
    </w:p>
    <w:p w14:paraId="43A3ED9E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Решения вышестоящих избирательных комиссий, принятые в пределах их компетенций, обязательны для исполнения нижестоящими избирательными комиссиями. Если решение комиссии противоречит закону или принято за рамками компетенции, оно подлежит отмене вышестоящей избирательной комиссией или судом.</w:t>
      </w:r>
    </w:p>
    <w:p w14:paraId="02DF8DF6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Важно: все комиссии осуществляют свою деятельность открыто и гласно, обеспечивают информирование избирателей о порядке и ходе избирательной кампании, о результатах выборов.</w:t>
      </w:r>
    </w:p>
    <w:p w14:paraId="5555B563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1C7873" w14:textId="77777777" w:rsidR="000B34F5" w:rsidRPr="00402C51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C51">
        <w:rPr>
          <w:rFonts w:ascii="Times New Roman" w:hAnsi="Times New Roman" w:cs="Times New Roman"/>
          <w:sz w:val="28"/>
          <w:szCs w:val="28"/>
        </w:rPr>
        <w:t>#простоовыборах #законовыборах #госдума #выборы2021 #комиссии</w:t>
      </w:r>
    </w:p>
    <w:p w14:paraId="6345AA51" w14:textId="77777777" w:rsidR="000B34F5" w:rsidRPr="005C61D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45F6FC" w14:textId="77777777" w:rsidR="00BB46EA" w:rsidRDefault="00E45756" w:rsidP="00BB46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6EA">
        <w:rPr>
          <w:rFonts w:ascii="Times New Roman" w:hAnsi="Times New Roman" w:cs="Times New Roman"/>
          <w:b/>
          <w:bCs/>
          <w:sz w:val="28"/>
          <w:szCs w:val="28"/>
        </w:rPr>
        <w:t>Выборы-2021: полномочия окружных комиссий</w:t>
      </w:r>
    </w:p>
    <w:p w14:paraId="5FA310BE" w14:textId="77777777" w:rsidR="00BB46EA" w:rsidRDefault="00BB46EA" w:rsidP="00BB46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DE350" w14:textId="77777777"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На выборах депутатов Государственной Думы окружная избирательная комиссия (ОИК) действует в каждом одномандатном избирательном округе.</w:t>
      </w:r>
    </w:p>
    <w:p w14:paraId="09F7CF1A" w14:textId="02B7DEF9"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Помимо координации деятельности ТИК и УИК при проведении выборов на</w:t>
      </w:r>
      <w:r w:rsidR="005C61D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BB46EA">
          <w:rPr>
            <w:rStyle w:val="a3"/>
            <w:rFonts w:ascii="Times New Roman" w:hAnsi="Times New Roman" w:cs="Times New Roman"/>
            <w:sz w:val="28"/>
            <w:szCs w:val="28"/>
          </w:rPr>
          <w:t>ОИК</w:t>
        </w:r>
      </w:hyperlink>
      <w:r w:rsidR="005C61D5">
        <w:rPr>
          <w:rFonts w:ascii="Times New Roman" w:hAnsi="Times New Roman" w:cs="Times New Roman"/>
          <w:sz w:val="28"/>
          <w:szCs w:val="28"/>
        </w:rPr>
        <w:t xml:space="preserve"> </w:t>
      </w:r>
      <w:r w:rsidRPr="00BB46EA">
        <w:rPr>
          <w:rFonts w:ascii="Times New Roman" w:hAnsi="Times New Roman" w:cs="Times New Roman"/>
          <w:sz w:val="28"/>
          <w:szCs w:val="28"/>
        </w:rPr>
        <w:t>возложены следующие основные задачи:</w:t>
      </w:r>
    </w:p>
    <w:p w14:paraId="22FD186B" w14:textId="77777777"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• регистрация кандидатов по одномандатному округу, их доверенных лиц и уполномоченных по финансовым вопросам;</w:t>
      </w:r>
    </w:p>
    <w:p w14:paraId="4CF50B63" w14:textId="77777777"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• обеспечение соблюдения правил информирования и агитации, а также целевого расходования средств избирательных фондов;</w:t>
      </w:r>
    </w:p>
    <w:p w14:paraId="5980CD98" w14:textId="77777777"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• утверждение текста избирательного бюллетеня для голосования по одномандатному избирательному округу;</w:t>
      </w:r>
    </w:p>
    <w:p w14:paraId="539DFF76" w14:textId="77777777"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• определение результатов выборов по одномандатному избирательному округу и итогов голосования по федеральному избирательному округу на территории одномандатного избирательного округа;</w:t>
      </w:r>
    </w:p>
    <w:p w14:paraId="702D9B12" w14:textId="77777777"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• рассмотрение жалоб на решения и действия (бездействие) ТИК и принятие решений по ним.</w:t>
      </w:r>
    </w:p>
    <w:p w14:paraId="5CBD8C55" w14:textId="7141BAA8" w:rsidR="005C61D5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Важно:</w:t>
      </w:r>
      <w:r w:rsidR="005C61D5">
        <w:rPr>
          <w:rFonts w:ascii="Times New Roman" w:hAnsi="Times New Roman" w:cs="Times New Roman"/>
          <w:sz w:val="28"/>
          <w:szCs w:val="28"/>
        </w:rPr>
        <w:t xml:space="preserve"> </w:t>
      </w:r>
      <w:r w:rsidRPr="00BB46EA">
        <w:rPr>
          <w:rFonts w:ascii="Times New Roman" w:hAnsi="Times New Roman" w:cs="Times New Roman"/>
          <w:sz w:val="28"/>
          <w:szCs w:val="28"/>
        </w:rPr>
        <w:t>если на территории субъекта Российской Федерации образован лишь</w:t>
      </w:r>
      <w:hyperlink r:id="rId11" w:tgtFrame="_blank" w:history="1">
        <w:r w:rsidR="005C61D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BB46EA">
          <w:rPr>
            <w:rStyle w:val="a3"/>
            <w:rFonts w:ascii="Times New Roman" w:hAnsi="Times New Roman" w:cs="Times New Roman"/>
            <w:sz w:val="28"/>
            <w:szCs w:val="28"/>
          </w:rPr>
          <w:t>один</w:t>
        </w:r>
      </w:hyperlink>
      <w:r w:rsidR="005C61D5">
        <w:rPr>
          <w:rFonts w:ascii="Times New Roman" w:hAnsi="Times New Roman" w:cs="Times New Roman"/>
          <w:sz w:val="28"/>
          <w:szCs w:val="28"/>
        </w:rPr>
        <w:t xml:space="preserve"> </w:t>
      </w:r>
      <w:r w:rsidRPr="00BB46EA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округ, полномочия ОИК исполняет </w:t>
      </w:r>
      <w:r w:rsidR="005C61D5">
        <w:rPr>
          <w:rFonts w:ascii="Times New Roman" w:hAnsi="Times New Roman" w:cs="Times New Roman"/>
          <w:sz w:val="28"/>
          <w:szCs w:val="28"/>
        </w:rPr>
        <w:t>избирательная комиссия субъекта Российской Федерации</w:t>
      </w:r>
      <w:r w:rsidRPr="00BB46EA">
        <w:rPr>
          <w:rFonts w:ascii="Times New Roman" w:hAnsi="Times New Roman" w:cs="Times New Roman"/>
          <w:sz w:val="28"/>
          <w:szCs w:val="28"/>
        </w:rPr>
        <w:t>. Если же их несколько, полномочия некоторых ОИК могут возлагаться на ИКСРФ или ТИК.</w:t>
      </w:r>
    </w:p>
    <w:p w14:paraId="53944480" w14:textId="77777777" w:rsidR="005C61D5" w:rsidRDefault="005C61D5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7DD0B" w14:textId="0CA5E6CF" w:rsidR="00E45756" w:rsidRPr="00BB46EA" w:rsidRDefault="00E45756" w:rsidP="00BB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EA">
        <w:rPr>
          <w:rFonts w:ascii="Times New Roman" w:hAnsi="Times New Roman" w:cs="Times New Roman"/>
          <w:sz w:val="28"/>
          <w:szCs w:val="28"/>
        </w:rPr>
        <w:t>#простоовыборах #законовыборах #ОИК #госдума #выборы2021 #комиссии #ТИК #ИКСРФ</w:t>
      </w:r>
    </w:p>
    <w:p w14:paraId="3158C29F" w14:textId="77777777" w:rsidR="005C61D5" w:rsidRDefault="00E45756" w:rsidP="005C61D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1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Выборы-2021: полномочия ИКСРФ</w:t>
      </w:r>
    </w:p>
    <w:p w14:paraId="69185E44" w14:textId="77777777" w:rsidR="005C61D5" w:rsidRDefault="005C61D5" w:rsidP="005C61D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689B0" w14:textId="352F0D27" w:rsidR="005C61D5" w:rsidRP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Избирательные комиссии субъектов Российской Федерации (ИКСРФ) являются постоянно действующими. Они отвечают за подготовку и проведение выборов в российских регионах.</w:t>
      </w:r>
      <w:r w:rsidR="005C61D5" w:rsidRPr="005C61D5">
        <w:rPr>
          <w:rFonts w:ascii="Times New Roman" w:hAnsi="Times New Roman" w:cs="Times New Roman"/>
          <w:sz w:val="28"/>
          <w:szCs w:val="28"/>
        </w:rPr>
        <w:t xml:space="preserve"> </w:t>
      </w:r>
      <w:r w:rsidRPr="005C61D5">
        <w:rPr>
          <w:rFonts w:ascii="Times New Roman" w:hAnsi="Times New Roman" w:cs="Times New Roman"/>
          <w:sz w:val="28"/>
          <w:szCs w:val="28"/>
        </w:rPr>
        <w:t xml:space="preserve">В период избирательной кампании по выборам депутатов Государственной Думы ИКСРФ осуществляют, в том числе, следующие </w:t>
      </w:r>
      <w:r w:rsidR="005C61D5" w:rsidRPr="005C61D5">
        <w:rPr>
          <w:rFonts w:ascii="Times New Roman" w:hAnsi="Times New Roman" w:cs="Times New Roman"/>
          <w:sz w:val="28"/>
          <w:szCs w:val="28"/>
        </w:rPr>
        <w:t>п</w:t>
      </w:r>
      <w:r w:rsidRPr="005C61D5">
        <w:rPr>
          <w:rFonts w:ascii="Times New Roman" w:hAnsi="Times New Roman" w:cs="Times New Roman"/>
          <w:sz w:val="28"/>
          <w:szCs w:val="28"/>
        </w:rPr>
        <w:t>олномочия:</w:t>
      </w:r>
    </w:p>
    <w:p w14:paraId="58CD26D0" w14:textId="77777777"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контроль за соблюдением избирательных прав граждан на территории субъекта Российской Федерации;</w:t>
      </w:r>
    </w:p>
    <w:p w14:paraId="5EBEBA2A" w14:textId="77777777"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оказание методической, организационно-технической и иной помощи ТИК и ОИК;</w:t>
      </w:r>
    </w:p>
    <w:p w14:paraId="7E3D2F90" w14:textId="77777777"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контроль правильности и своевременности составления списков избирателей;</w:t>
      </w:r>
    </w:p>
    <w:p w14:paraId="7BE281C4" w14:textId="77777777"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информирование участников избирательного процесса, а также распределение бесплатного эфирного времени и печатной площади для проведения предвыборной агитации;</w:t>
      </w:r>
    </w:p>
    <w:p w14:paraId="3B0A9476" w14:textId="77777777"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обеспечение единого порядка подсчета голосов и установления итогов голосования;</w:t>
      </w:r>
    </w:p>
    <w:p w14:paraId="54704381" w14:textId="77777777"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• рассмотрение жалоб (заявлений) на решения и действия нижестоящих комиссий.</w:t>
      </w:r>
    </w:p>
    <w:p w14:paraId="6B925E86" w14:textId="77777777" w:rsidR="005C61D5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Важно:</w:t>
      </w:r>
      <w:r w:rsidR="005C61D5">
        <w:rPr>
          <w:rFonts w:ascii="Times New Roman" w:hAnsi="Times New Roman" w:cs="Times New Roman"/>
          <w:sz w:val="28"/>
          <w:szCs w:val="28"/>
        </w:rPr>
        <w:t xml:space="preserve"> </w:t>
      </w:r>
      <w:r w:rsidRPr="005C61D5">
        <w:rPr>
          <w:rFonts w:ascii="Times New Roman" w:hAnsi="Times New Roman" w:cs="Times New Roman"/>
          <w:sz w:val="28"/>
          <w:szCs w:val="28"/>
        </w:rPr>
        <w:t>ИКСРФ не только координируют работу нижестоящих избирательных комиссий, но и</w:t>
      </w:r>
      <w:r w:rsidR="005C61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5C61D5">
          <w:rPr>
            <w:rStyle w:val="a3"/>
            <w:rFonts w:ascii="Times New Roman" w:hAnsi="Times New Roman" w:cs="Times New Roman"/>
            <w:sz w:val="28"/>
            <w:szCs w:val="28"/>
          </w:rPr>
          <w:t>обеспечивают</w:t>
        </w:r>
      </w:hyperlink>
      <w:r w:rsidR="005C61D5">
        <w:rPr>
          <w:rFonts w:ascii="Times New Roman" w:hAnsi="Times New Roman" w:cs="Times New Roman"/>
          <w:sz w:val="28"/>
          <w:szCs w:val="28"/>
        </w:rPr>
        <w:t xml:space="preserve"> </w:t>
      </w:r>
      <w:r w:rsidRPr="005C61D5">
        <w:rPr>
          <w:rFonts w:ascii="Times New Roman" w:hAnsi="Times New Roman" w:cs="Times New Roman"/>
          <w:sz w:val="28"/>
          <w:szCs w:val="28"/>
        </w:rPr>
        <w:t>взаимодействие ЦИК России с региональными органами государственной власти.</w:t>
      </w:r>
    </w:p>
    <w:p w14:paraId="06711B71" w14:textId="77777777" w:rsidR="005C61D5" w:rsidRDefault="005C61D5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781B7" w14:textId="14640257" w:rsidR="00E45756" w:rsidRDefault="00E45756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5">
        <w:rPr>
          <w:rFonts w:ascii="Times New Roman" w:hAnsi="Times New Roman" w:cs="Times New Roman"/>
          <w:sz w:val="28"/>
          <w:szCs w:val="28"/>
        </w:rPr>
        <w:t>#простоовыборах #законовыборах #ИКСРФ #госдума #выборы2021 #комиссии #ОИК #ТИК</w:t>
      </w:r>
    </w:p>
    <w:p w14:paraId="5BBA8265" w14:textId="1D293EC6" w:rsidR="000B34F5" w:rsidRDefault="000B34F5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C45A0" w14:textId="77777777" w:rsidR="000B34F5" w:rsidRDefault="000B34F5" w:rsidP="000B34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Выборы-2021: образование одномандатных избирательных округов</w:t>
      </w:r>
    </w:p>
    <w:p w14:paraId="5778028F" w14:textId="77777777" w:rsidR="000B34F5" w:rsidRDefault="000B34F5" w:rsidP="000B34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14:paraId="32071652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проведения выборов депутатов Государственной Думы на территории Российской Федерации </w:t>
      </w:r>
      <w:hyperlink r:id="rId13" w:anchor="/document/71237746/paragraph/1/doclist/2624/showentries/0/highlight/%D0%A4%D0%B5%D0%B4%D0%B5%D1%80%D0%B0%D0%BB%D1%8C%D0%BD%D1%8B%D0%B9%20%D0%B7%D0%B0%D0%BA%D0%BE%D0%BD%20%D0%BE%D1%82%2003.11.2015%20%E2%84%96%20300-%D0%A4%D0%97:2" w:tgtFrame="_blank" w:history="1">
        <w:r w:rsidRPr="006F2CAE">
          <w:rPr>
            <w:rStyle w:val="a3"/>
            <w:rFonts w:ascii="Times New Roman" w:hAnsi="Times New Roman" w:cs="Times New Roman"/>
            <w:color w:val="2481CC"/>
            <w:sz w:val="28"/>
            <w:szCs w:val="28"/>
            <w:shd w:val="clear" w:color="auto" w:fill="FFFFFF"/>
          </w:rPr>
          <w:t>образованы</w:t>
        </w:r>
      </w:hyperlink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225 одномандатных избирательных округов.</w:t>
      </w:r>
    </w:p>
    <w:p w14:paraId="54F0109E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Одномандатные избирательные округа образуются на основе единой нормы представительства избирателей. Эта норма определяется путем деления общего числа зарегистрированных в России избирателей на общее число одномандатных округов.</w:t>
      </w:r>
    </w:p>
    <w:p w14:paraId="18BA6C85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 формированию одномандатных избирательных округов предъявляются определенные </w:t>
      </w:r>
      <w:hyperlink r:id="rId14" w:tgtFrame="_blank" w:history="1">
        <w:r w:rsidRPr="006F2CAE">
          <w:rPr>
            <w:rStyle w:val="a3"/>
            <w:rFonts w:ascii="Times New Roman" w:hAnsi="Times New Roman" w:cs="Times New Roman"/>
            <w:color w:val="2481CC"/>
            <w:sz w:val="28"/>
            <w:szCs w:val="28"/>
            <w:shd w:val="clear" w:color="auto" w:fill="FFFFFF"/>
          </w:rPr>
          <w:t>требования</w:t>
        </w:r>
      </w:hyperlink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 том числе:</w:t>
      </w:r>
    </w:p>
    <w:p w14:paraId="42E1EC1B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соблюдение примерного равенства числа зарегистрированных на их территориях избирателей;</w:t>
      </w:r>
    </w:p>
    <w:p w14:paraId="702B8DB7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не допускается образование одномандатных избирательных округов из территорий, не граничащих между собой;</w:t>
      </w:r>
    </w:p>
    <w:p w14:paraId="51E89160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не допускается образование одномандатного избирательного округа из территорий двух и более субъектов Российской Федерации;</w:t>
      </w:r>
    </w:p>
    <w:p w14:paraId="621DFF4B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на территории каждого субъекта Российской Федерации должно быть образовано не менее одного одномандатного избирательного округа.</w:t>
      </w:r>
    </w:p>
    <w:p w14:paraId="33D7BDE8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Избиратели, проживающие за рубежом, приписываются к одномандатным избирательным округам, образованным на территории Российской Федерации.</w:t>
      </w:r>
    </w:p>
    <w:p w14:paraId="769D4911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Важно: схема одномандатных избирательных округов </w:t>
      </w:r>
      <w:hyperlink r:id="rId15" w:tgtFrame="_blank" w:history="1">
        <w:r w:rsidRPr="006F2CAE">
          <w:rPr>
            <w:rStyle w:val="a3"/>
            <w:rFonts w:ascii="Times New Roman" w:hAnsi="Times New Roman" w:cs="Times New Roman"/>
            <w:color w:val="2481CC"/>
            <w:sz w:val="28"/>
            <w:szCs w:val="28"/>
            <w:shd w:val="clear" w:color="auto" w:fill="FFFFFF"/>
          </w:rPr>
          <w:t>утверждается</w:t>
        </w:r>
      </w:hyperlink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сроком на 10 лет.</w:t>
      </w:r>
    </w:p>
    <w:p w14:paraId="0B08FE93" w14:textId="77777777" w:rsidR="000B34F5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731B085E" w14:textId="77777777" w:rsidR="000B34F5" w:rsidRPr="006F2CAE" w:rsidRDefault="000B34F5" w:rsidP="000B3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#простоовыборах #законовыборах #госдума #выборы2021 #депутаты #избирательныйокруг</w:t>
      </w:r>
    </w:p>
    <w:p w14:paraId="525A02DA" w14:textId="50A77814" w:rsidR="000B34F5" w:rsidRDefault="000B34F5" w:rsidP="005C61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56"/>
    <w:rsid w:val="000B34F5"/>
    <w:rsid w:val="00424F5B"/>
    <w:rsid w:val="005C61D5"/>
    <w:rsid w:val="00863E83"/>
    <w:rsid w:val="00BB46EA"/>
    <w:rsid w:val="00E4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DDAF"/>
  <w15:chartTrackingRefBased/>
  <w15:docId w15:val="{510B1636-826F-440A-8F08-1214858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349/bec32c29895274809b99e80eb6410b8776800fea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9349/3ba325347995e20c16a0c5ae30cad94eb159d296/" TargetMode="External"/><Relationship Id="rId12" Type="http://schemas.openxmlformats.org/officeDocument/2006/relationships/hyperlink" Target="http://www.consultant.ru/document/cons_doc_LAW_159349/cc0db183ce724245f43e7f837cc8b583749604a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9349/cc0db183ce724245f43e7f837cc8b583749604a7/" TargetMode="External"/><Relationship Id="rId11" Type="http://schemas.openxmlformats.org/officeDocument/2006/relationships/hyperlink" Target="http://www.consultant.ru/document/cons_doc_LAW_159349/2561100059795414c69a1fcd9fa68bcec8565ec3/" TargetMode="External"/><Relationship Id="rId5" Type="http://schemas.openxmlformats.org/officeDocument/2006/relationships/hyperlink" Target="http://www.consultant.ru/document/cons_doc_LAW_159349/14be04e86883dfc4b16d144fdd1f22e0e0d1edc8/" TargetMode="External"/><Relationship Id="rId15" Type="http://schemas.openxmlformats.org/officeDocument/2006/relationships/hyperlink" Target="http://www.consultant.ru/document/cons_doc_LAW_159349/fe04fd857e0ffabaaf72de880f92159bdbb48269/" TargetMode="External"/><Relationship Id="rId10" Type="http://schemas.openxmlformats.org/officeDocument/2006/relationships/hyperlink" Target="http://www.consultant.ru/document/cons_doc_LAW_159349/3ba325347995e20c16a0c5ae30cad94eb159d296/" TargetMode="External"/><Relationship Id="rId4" Type="http://schemas.openxmlformats.org/officeDocument/2006/relationships/hyperlink" Target="http://www.consultant.ru/document/cons_doc_LAW_159349/f36c438ac8373de609d4c1107cda8dbbe993afcf/" TargetMode="External"/><Relationship Id="rId9" Type="http://schemas.openxmlformats.org/officeDocument/2006/relationships/hyperlink" Target="http://www.consultant.ru/document/cons_doc_LAW_159349/97911d727304e8bff0e4f011828ed303e12d426d/" TargetMode="External"/><Relationship Id="rId14" Type="http://schemas.openxmlformats.org/officeDocument/2006/relationships/hyperlink" Target="http://www.consultant.ru/document/cons_doc_LAW_159349/fe04fd857e0ffabaaf72de880f92159bdbb48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2021-03-02T11:25:00Z</dcterms:created>
  <dcterms:modified xsi:type="dcterms:W3CDTF">2021-03-02T11:42:00Z</dcterms:modified>
</cp:coreProperties>
</file>